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D3" w:rsidRPr="003F2763" w:rsidRDefault="008D012D" w:rsidP="008D012D">
      <w:pPr>
        <w:spacing w:after="0"/>
        <w:jc w:val="center"/>
        <w:rPr>
          <w:rFonts w:cstheme="minorHAnsi"/>
          <w:b/>
          <w:sz w:val="40"/>
          <w:szCs w:val="32"/>
          <w:u w:val="single"/>
        </w:rPr>
      </w:pPr>
      <w:r>
        <w:rPr>
          <w:rFonts w:cstheme="minorHAnsi"/>
          <w:b/>
          <w:noProof/>
          <w:sz w:val="40"/>
          <w:szCs w:val="32"/>
          <w:u w:val="single"/>
          <w:lang w:eastAsia="es-ES"/>
        </w:rPr>
        <w:drawing>
          <wp:anchor distT="0" distB="0" distL="114300" distR="114300" simplePos="0" relativeHeight="251659264" behindDoc="0" locked="0" layoutInCell="1" allowOverlap="1">
            <wp:simplePos x="0" y="0"/>
            <wp:positionH relativeFrom="column">
              <wp:posOffset>-32385</wp:posOffset>
            </wp:positionH>
            <wp:positionV relativeFrom="paragraph">
              <wp:posOffset>71755</wp:posOffset>
            </wp:positionV>
            <wp:extent cx="628650" cy="1095375"/>
            <wp:effectExtent l="19050" t="0" r="0" b="0"/>
            <wp:wrapNone/>
            <wp:docPr id="4" name="1 Imagen" descr="Logo-CGT-2-tintas-17-cop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T-2-tintas-17-copia_1.png"/>
                    <pic:cNvPicPr/>
                  </pic:nvPicPr>
                  <pic:blipFill>
                    <a:blip r:embed="rId8"/>
                    <a:stretch>
                      <a:fillRect/>
                    </a:stretch>
                  </pic:blipFill>
                  <pic:spPr>
                    <a:xfrm>
                      <a:off x="0" y="0"/>
                      <a:ext cx="628650" cy="1095375"/>
                    </a:xfrm>
                    <a:prstGeom prst="rect">
                      <a:avLst/>
                    </a:prstGeom>
                  </pic:spPr>
                </pic:pic>
              </a:graphicData>
            </a:graphic>
          </wp:anchor>
        </w:drawing>
      </w:r>
      <w:r w:rsidR="004B56D3" w:rsidRPr="003F2763">
        <w:rPr>
          <w:rFonts w:cstheme="minorHAnsi"/>
          <w:b/>
          <w:sz w:val="40"/>
          <w:szCs w:val="32"/>
          <w:u w:val="single"/>
        </w:rPr>
        <w:t>Confederació</w:t>
      </w:r>
      <w:r w:rsidR="00A67621">
        <w:rPr>
          <w:rFonts w:cstheme="minorHAnsi"/>
          <w:b/>
          <w:sz w:val="40"/>
          <w:szCs w:val="32"/>
          <w:u w:val="single"/>
        </w:rPr>
        <w:t>n</w:t>
      </w:r>
      <w:r w:rsidR="004B56D3" w:rsidRPr="003F2763">
        <w:rPr>
          <w:rFonts w:cstheme="minorHAnsi"/>
          <w:b/>
          <w:sz w:val="40"/>
          <w:szCs w:val="32"/>
          <w:u w:val="single"/>
        </w:rPr>
        <w:t xml:space="preserve"> </w:t>
      </w:r>
      <w:r w:rsidR="00A67621">
        <w:rPr>
          <w:rFonts w:cstheme="minorHAnsi"/>
          <w:b/>
          <w:sz w:val="40"/>
          <w:szCs w:val="32"/>
          <w:u w:val="single"/>
        </w:rPr>
        <w:t>General del Trabajo</w:t>
      </w:r>
    </w:p>
    <w:p w:rsidR="00A67621" w:rsidRPr="00A67621" w:rsidRDefault="00A67621" w:rsidP="008D012D">
      <w:pPr>
        <w:spacing w:after="0"/>
        <w:jc w:val="center"/>
        <w:rPr>
          <w:rFonts w:cstheme="minorHAnsi"/>
          <w:b/>
          <w:sz w:val="28"/>
          <w:szCs w:val="26"/>
        </w:rPr>
      </w:pPr>
      <w:r w:rsidRPr="00A67621">
        <w:rPr>
          <w:rFonts w:cstheme="minorHAnsi"/>
          <w:b/>
          <w:sz w:val="28"/>
          <w:szCs w:val="26"/>
        </w:rPr>
        <w:t>Sindicato de oficio</w:t>
      </w:r>
      <w:r>
        <w:rPr>
          <w:rFonts w:cstheme="minorHAnsi"/>
          <w:b/>
          <w:sz w:val="28"/>
          <w:szCs w:val="26"/>
        </w:rPr>
        <w:t>s</w:t>
      </w:r>
      <w:r w:rsidRPr="00A67621">
        <w:rPr>
          <w:rFonts w:cstheme="minorHAnsi"/>
          <w:b/>
          <w:sz w:val="28"/>
          <w:szCs w:val="26"/>
        </w:rPr>
        <w:t xml:space="preserve"> varios de Sabadell</w:t>
      </w:r>
    </w:p>
    <w:p w:rsidR="004B56D3" w:rsidRPr="00A67621" w:rsidRDefault="004B56D3" w:rsidP="008D012D">
      <w:pPr>
        <w:spacing w:after="0"/>
        <w:jc w:val="center"/>
        <w:rPr>
          <w:rFonts w:cstheme="minorHAnsi"/>
          <w:b/>
          <w:sz w:val="24"/>
          <w:szCs w:val="26"/>
        </w:rPr>
      </w:pPr>
      <w:r w:rsidRPr="00A67621">
        <w:rPr>
          <w:rFonts w:cstheme="minorHAnsi"/>
          <w:b/>
          <w:sz w:val="24"/>
          <w:szCs w:val="26"/>
        </w:rPr>
        <w:t>Sección sindical Novartis Farmacéutica</w:t>
      </w:r>
    </w:p>
    <w:p w:rsidR="003F2763" w:rsidRPr="003F2763" w:rsidRDefault="004B56D3" w:rsidP="008D012D">
      <w:pPr>
        <w:spacing w:after="0"/>
        <w:jc w:val="center"/>
        <w:rPr>
          <w:rFonts w:cstheme="minorHAnsi"/>
          <w:b/>
          <w:i/>
          <w:color w:val="222222"/>
          <w:sz w:val="24"/>
          <w:szCs w:val="21"/>
          <w:shd w:val="clear" w:color="auto" w:fill="FFFFFF"/>
        </w:rPr>
      </w:pPr>
      <w:r w:rsidRPr="003F2763">
        <w:rPr>
          <w:rFonts w:cstheme="minorHAnsi"/>
          <w:b/>
          <w:i/>
          <w:color w:val="222222"/>
          <w:sz w:val="24"/>
          <w:szCs w:val="21"/>
          <w:shd w:val="clear" w:color="auto" w:fill="FFFFFF"/>
        </w:rPr>
        <w:t>Ronda de Santa Maria, 158, 08210 Barberà del Vallès</w:t>
      </w:r>
    </w:p>
    <w:p w:rsidR="004B56D3" w:rsidRPr="00451B04" w:rsidRDefault="004B56D3" w:rsidP="008D012D">
      <w:pPr>
        <w:spacing w:after="0" w:line="240" w:lineRule="auto"/>
        <w:jc w:val="center"/>
        <w:rPr>
          <w:rFonts w:cstheme="minorHAnsi"/>
          <w:b/>
          <w:i/>
          <w:sz w:val="24"/>
          <w:lang w:val="en-US"/>
        </w:rPr>
      </w:pPr>
      <w:r w:rsidRPr="00451B04">
        <w:rPr>
          <w:rFonts w:cstheme="minorHAnsi"/>
          <w:b/>
          <w:i/>
          <w:sz w:val="24"/>
          <w:lang w:val="en-US"/>
        </w:rPr>
        <w:t xml:space="preserve">E-mail: </w:t>
      </w:r>
      <w:hyperlink r:id="rId9" w:history="1">
        <w:r w:rsidR="00451B04" w:rsidRPr="00F57750">
          <w:rPr>
            <w:rStyle w:val="Hipervnculo"/>
            <w:rFonts w:cstheme="minorHAnsi"/>
            <w:b/>
            <w:sz w:val="24"/>
            <w:lang w:val="en-US"/>
          </w:rPr>
          <w:t>cgt.novartis@gmail.com</w:t>
        </w:r>
      </w:hyperlink>
      <w:r w:rsidR="00451B04">
        <w:rPr>
          <w:lang w:val="en-US"/>
        </w:rPr>
        <w:t xml:space="preserve"> </w:t>
      </w:r>
      <w:r w:rsidR="00451B04" w:rsidRPr="00451B04">
        <w:rPr>
          <w:lang w:val="en-US"/>
        </w:rPr>
        <w:t xml:space="preserve">/ </w:t>
      </w:r>
      <w:r w:rsidR="00451B04" w:rsidRPr="00451B04">
        <w:rPr>
          <w:b/>
          <w:i/>
          <w:sz w:val="24"/>
          <w:lang w:val="en-US"/>
        </w:rPr>
        <w:t xml:space="preserve">Twitter: </w:t>
      </w:r>
      <w:hyperlink r:id="rId10" w:history="1">
        <w:r w:rsidR="00451B04" w:rsidRPr="00F57750">
          <w:rPr>
            <w:rStyle w:val="Hipervnculo"/>
            <w:b/>
            <w:sz w:val="24"/>
            <w:lang w:val="en-US"/>
          </w:rPr>
          <w:t>@CgtNovartis</w:t>
        </w:r>
      </w:hyperlink>
    </w:p>
    <w:p w:rsidR="002766A5" w:rsidRPr="00451B04" w:rsidRDefault="002766A5" w:rsidP="008D012D">
      <w:pPr>
        <w:spacing w:after="0" w:line="240" w:lineRule="auto"/>
        <w:jc w:val="center"/>
        <w:rPr>
          <w:rFonts w:cstheme="minorHAnsi"/>
          <w:b/>
          <w:i/>
          <w:sz w:val="28"/>
          <w:lang w:val="en-US"/>
        </w:rPr>
      </w:pPr>
    </w:p>
    <w:p w:rsidR="002766A5" w:rsidRDefault="002766A5" w:rsidP="008D012D">
      <w:pPr>
        <w:pStyle w:val="Prrafodelista"/>
        <w:spacing w:after="0"/>
        <w:jc w:val="center"/>
        <w:rPr>
          <w:color w:val="000000" w:themeColor="text1"/>
          <w:lang w:val="en-US"/>
        </w:rPr>
      </w:pPr>
    </w:p>
    <w:p w:rsidR="00451B04" w:rsidRPr="003235DD" w:rsidRDefault="008D012D" w:rsidP="003235DD">
      <w:pPr>
        <w:spacing w:after="0"/>
        <w:jc w:val="center"/>
        <w:rPr>
          <w:b/>
          <w:color w:val="000000" w:themeColor="text1"/>
          <w:sz w:val="40"/>
          <w:u w:val="single"/>
        </w:rPr>
      </w:pPr>
      <w:r w:rsidRPr="003235DD">
        <w:rPr>
          <w:b/>
          <w:color w:val="000000" w:themeColor="text1"/>
          <w:sz w:val="40"/>
          <w:u w:val="single"/>
        </w:rPr>
        <w:t>Luchar por un futuro mejor</w:t>
      </w:r>
    </w:p>
    <w:p w:rsidR="008D012D" w:rsidRDefault="008D012D" w:rsidP="008D012D">
      <w:pPr>
        <w:spacing w:after="0"/>
        <w:rPr>
          <w:color w:val="000000" w:themeColor="text1"/>
          <w:sz w:val="24"/>
          <w:szCs w:val="24"/>
        </w:rPr>
      </w:pPr>
    </w:p>
    <w:p w:rsidR="008D012D" w:rsidRDefault="008D012D" w:rsidP="008D012D">
      <w:pPr>
        <w:spacing w:after="0"/>
        <w:rPr>
          <w:color w:val="000000" w:themeColor="text1"/>
          <w:sz w:val="24"/>
          <w:szCs w:val="24"/>
        </w:rPr>
      </w:pPr>
      <w:r>
        <w:rPr>
          <w:color w:val="000000" w:themeColor="text1"/>
          <w:sz w:val="24"/>
          <w:szCs w:val="24"/>
        </w:rPr>
        <w:t>El pasado miércoles, reunidos en asamblea, los trabajadores y trabajadoras de Novartis decidimos decir basta, que estamos cansados de que nos mientan, de que intenten enfrentarnos los unos contra los otros, y de que nos intenten convencer, solo de palabra, de que tenemos garantizado nuestro futuro laboral, pese a que todo indique lo contrario.</w:t>
      </w:r>
    </w:p>
    <w:p w:rsidR="008D012D" w:rsidRDefault="008D012D" w:rsidP="008D012D">
      <w:pPr>
        <w:spacing w:after="0"/>
        <w:rPr>
          <w:color w:val="000000" w:themeColor="text1"/>
          <w:sz w:val="24"/>
          <w:szCs w:val="24"/>
        </w:rPr>
      </w:pPr>
    </w:p>
    <w:p w:rsidR="008D012D" w:rsidRDefault="008D012D" w:rsidP="008D012D">
      <w:pPr>
        <w:spacing w:after="0"/>
        <w:rPr>
          <w:color w:val="000000" w:themeColor="text1"/>
          <w:sz w:val="24"/>
          <w:szCs w:val="24"/>
        </w:rPr>
      </w:pPr>
      <w:r>
        <w:rPr>
          <w:color w:val="000000" w:themeColor="text1"/>
          <w:sz w:val="24"/>
          <w:szCs w:val="24"/>
        </w:rPr>
        <w:t xml:space="preserve">La transparencia y la honestidad hace tiempo que murieron en esta empresa, y es por ello que ya no podemos creernos nada de lo que nos cuentan. Desde la CGT lo tenemos claro, </w:t>
      </w:r>
      <w:r w:rsidR="00196BF5">
        <w:rPr>
          <w:color w:val="000000" w:themeColor="text1"/>
          <w:sz w:val="24"/>
          <w:szCs w:val="24"/>
        </w:rPr>
        <w:t>no nos detendremos hasta tener un acuerdo, por escrito, donde se garanticen nuestros puestos de trabajo, nuestros salarios y todas y cada una de las condiciones sociales y laborales que tantos años nos ha costado conseguir.</w:t>
      </w:r>
    </w:p>
    <w:p w:rsidR="00196BF5" w:rsidRDefault="00196BF5" w:rsidP="008D012D">
      <w:pPr>
        <w:spacing w:after="0"/>
        <w:rPr>
          <w:color w:val="000000" w:themeColor="text1"/>
          <w:sz w:val="24"/>
          <w:szCs w:val="24"/>
        </w:rPr>
      </w:pPr>
    </w:p>
    <w:p w:rsidR="00196BF5" w:rsidRDefault="00196BF5" w:rsidP="008D012D">
      <w:pPr>
        <w:spacing w:after="0"/>
        <w:rPr>
          <w:color w:val="000000" w:themeColor="text1"/>
          <w:sz w:val="24"/>
          <w:szCs w:val="24"/>
        </w:rPr>
      </w:pPr>
      <w:r>
        <w:rPr>
          <w:color w:val="000000" w:themeColor="text1"/>
          <w:sz w:val="24"/>
          <w:szCs w:val="24"/>
        </w:rPr>
        <w:t>Es por ello que exigimos a la dirección global de Novartis que se sienten en una mesa de negociación, porque desde la CGT no vamos a tolerar que su avaricia destruya nuestro futuro ni el de nuestros compañeros. Nuestro objetivo es muy claro:</w:t>
      </w:r>
    </w:p>
    <w:p w:rsidR="00196BF5" w:rsidRDefault="00196BF5" w:rsidP="008D012D">
      <w:pPr>
        <w:spacing w:after="0"/>
        <w:rPr>
          <w:color w:val="000000" w:themeColor="text1"/>
          <w:sz w:val="24"/>
          <w:szCs w:val="24"/>
        </w:rPr>
      </w:pPr>
    </w:p>
    <w:p w:rsidR="00196BF5" w:rsidRPr="003235DD" w:rsidRDefault="00196BF5" w:rsidP="00196BF5">
      <w:pPr>
        <w:pStyle w:val="Prrafodelista"/>
        <w:numPr>
          <w:ilvl w:val="0"/>
          <w:numId w:val="4"/>
        </w:numPr>
        <w:spacing w:after="0"/>
        <w:rPr>
          <w:b/>
          <w:i/>
          <w:color w:val="000000" w:themeColor="text1"/>
          <w:sz w:val="24"/>
          <w:szCs w:val="24"/>
        </w:rPr>
      </w:pPr>
      <w:r w:rsidRPr="003235DD">
        <w:rPr>
          <w:b/>
          <w:i/>
          <w:color w:val="000000" w:themeColor="text1"/>
          <w:sz w:val="24"/>
          <w:szCs w:val="24"/>
        </w:rPr>
        <w:t>Necesitamos el plan de producción de Siegfried Holding para la planta de Barberà del Vallés para los próximos 8 años.</w:t>
      </w:r>
    </w:p>
    <w:p w:rsidR="00196BF5" w:rsidRPr="003235DD" w:rsidRDefault="00196BF5" w:rsidP="00196BF5">
      <w:pPr>
        <w:pStyle w:val="Prrafodelista"/>
        <w:spacing w:after="0"/>
        <w:rPr>
          <w:b/>
          <w:i/>
          <w:color w:val="000000" w:themeColor="text1"/>
          <w:sz w:val="24"/>
          <w:szCs w:val="24"/>
        </w:rPr>
      </w:pPr>
    </w:p>
    <w:p w:rsidR="00196BF5" w:rsidRPr="003235DD" w:rsidRDefault="00196BF5" w:rsidP="00196BF5">
      <w:pPr>
        <w:pStyle w:val="Prrafodelista"/>
        <w:numPr>
          <w:ilvl w:val="0"/>
          <w:numId w:val="4"/>
        </w:numPr>
        <w:spacing w:before="120" w:after="0"/>
        <w:ind w:left="714" w:hanging="357"/>
        <w:rPr>
          <w:b/>
          <w:i/>
          <w:color w:val="000000" w:themeColor="text1"/>
          <w:sz w:val="24"/>
          <w:szCs w:val="24"/>
        </w:rPr>
      </w:pPr>
      <w:r w:rsidRPr="003235DD">
        <w:rPr>
          <w:b/>
          <w:i/>
          <w:color w:val="000000" w:themeColor="text1"/>
          <w:sz w:val="24"/>
          <w:szCs w:val="24"/>
        </w:rPr>
        <w:t>Necesitamos un acuerdo legal donde Novartis garantice que</w:t>
      </w:r>
      <w:r w:rsidR="00FA0006" w:rsidRPr="003235DD">
        <w:rPr>
          <w:b/>
          <w:i/>
          <w:color w:val="000000" w:themeColor="text1"/>
          <w:sz w:val="24"/>
          <w:szCs w:val="24"/>
        </w:rPr>
        <w:t>,</w:t>
      </w:r>
      <w:r w:rsidRPr="003235DD">
        <w:rPr>
          <w:b/>
          <w:i/>
          <w:color w:val="000000" w:themeColor="text1"/>
          <w:sz w:val="24"/>
          <w:szCs w:val="24"/>
        </w:rPr>
        <w:t xml:space="preserve"> en caso de querer trasladar la producción de sus productos a otra planta, lo haga de manera escalonada con la llegada de nuevos productos.</w:t>
      </w:r>
    </w:p>
    <w:p w:rsidR="00196BF5" w:rsidRPr="003235DD" w:rsidRDefault="00196BF5" w:rsidP="00196BF5">
      <w:pPr>
        <w:pStyle w:val="Prrafodelista"/>
        <w:spacing w:before="120" w:after="0"/>
        <w:ind w:left="714"/>
        <w:rPr>
          <w:b/>
          <w:i/>
          <w:color w:val="000000" w:themeColor="text1"/>
          <w:sz w:val="24"/>
          <w:szCs w:val="24"/>
        </w:rPr>
      </w:pPr>
    </w:p>
    <w:p w:rsidR="00196BF5" w:rsidRPr="003235DD" w:rsidRDefault="00196BF5" w:rsidP="00196BF5">
      <w:pPr>
        <w:pStyle w:val="Prrafodelista"/>
        <w:numPr>
          <w:ilvl w:val="0"/>
          <w:numId w:val="4"/>
        </w:numPr>
        <w:spacing w:after="0"/>
        <w:rPr>
          <w:b/>
          <w:i/>
          <w:color w:val="000000" w:themeColor="text1"/>
          <w:sz w:val="24"/>
          <w:szCs w:val="24"/>
        </w:rPr>
      </w:pPr>
      <w:r w:rsidRPr="003235DD">
        <w:rPr>
          <w:b/>
          <w:i/>
          <w:color w:val="000000" w:themeColor="text1"/>
          <w:sz w:val="24"/>
          <w:szCs w:val="24"/>
        </w:rPr>
        <w:t>Que Novartis, tal y como aseguró a los miembros del Comité de empresa, no sustraiga ni una sola máquina, ni equipo, de la planta de Barberà del Vallés.</w:t>
      </w:r>
    </w:p>
    <w:p w:rsidR="00196BF5" w:rsidRPr="003235DD" w:rsidRDefault="00196BF5" w:rsidP="00196BF5">
      <w:pPr>
        <w:pStyle w:val="Prrafodelista"/>
        <w:spacing w:after="0"/>
        <w:rPr>
          <w:b/>
          <w:i/>
          <w:color w:val="000000" w:themeColor="text1"/>
          <w:sz w:val="24"/>
          <w:szCs w:val="24"/>
        </w:rPr>
      </w:pPr>
    </w:p>
    <w:p w:rsidR="00196BF5" w:rsidRPr="003235DD" w:rsidRDefault="00196BF5" w:rsidP="00196BF5">
      <w:pPr>
        <w:pStyle w:val="Prrafodelista"/>
        <w:numPr>
          <w:ilvl w:val="0"/>
          <w:numId w:val="4"/>
        </w:numPr>
        <w:spacing w:after="0"/>
        <w:rPr>
          <w:b/>
          <w:i/>
          <w:color w:val="000000" w:themeColor="text1"/>
          <w:sz w:val="24"/>
          <w:szCs w:val="24"/>
        </w:rPr>
      </w:pPr>
      <w:r w:rsidRPr="003235DD">
        <w:rPr>
          <w:b/>
          <w:i/>
          <w:color w:val="000000" w:themeColor="text1"/>
          <w:sz w:val="24"/>
          <w:szCs w:val="24"/>
        </w:rPr>
        <w:t xml:space="preserve">Un acuerdo de garantía de empleo a largo plazo (un largo plazo real, no como el que anuncian en los medios de comunicación, que bien pueden ser </w:t>
      </w:r>
      <w:r w:rsidR="00FA0006" w:rsidRPr="003235DD">
        <w:rPr>
          <w:b/>
          <w:i/>
          <w:color w:val="000000" w:themeColor="text1"/>
          <w:sz w:val="24"/>
          <w:szCs w:val="24"/>
        </w:rPr>
        <w:t xml:space="preserve">de </w:t>
      </w:r>
      <w:r w:rsidRPr="003235DD">
        <w:rPr>
          <w:b/>
          <w:i/>
          <w:color w:val="000000" w:themeColor="text1"/>
          <w:sz w:val="24"/>
          <w:szCs w:val="24"/>
        </w:rPr>
        <w:t>seis meses) donde todos y cada uno de los trabajadores y trabajadoras de Novartis puedan estar tranquilos porque su puesto de trabajo esté garantizado.</w:t>
      </w:r>
    </w:p>
    <w:p w:rsidR="008D012D" w:rsidRDefault="008D012D" w:rsidP="008D012D">
      <w:pPr>
        <w:spacing w:after="0"/>
        <w:rPr>
          <w:color w:val="000000" w:themeColor="text1"/>
          <w:sz w:val="24"/>
          <w:szCs w:val="24"/>
        </w:rPr>
      </w:pPr>
      <w:r>
        <w:rPr>
          <w:color w:val="000000" w:themeColor="text1"/>
          <w:sz w:val="24"/>
          <w:szCs w:val="24"/>
        </w:rPr>
        <w:lastRenderedPageBreak/>
        <w:t xml:space="preserve"> </w:t>
      </w:r>
    </w:p>
    <w:p w:rsidR="00196BF5" w:rsidRDefault="00196BF5" w:rsidP="008D012D">
      <w:pPr>
        <w:spacing w:after="0"/>
        <w:rPr>
          <w:color w:val="000000" w:themeColor="text1"/>
          <w:sz w:val="24"/>
          <w:szCs w:val="24"/>
        </w:rPr>
      </w:pPr>
      <w:r>
        <w:rPr>
          <w:color w:val="000000" w:themeColor="text1"/>
          <w:sz w:val="24"/>
          <w:szCs w:val="24"/>
        </w:rPr>
        <w:t xml:space="preserve">No dudéis ni por un instante que desde la dirección de la empresa van a hacer todo lo posible por reventar este movimiento que entre todos hemos empezado. No sabemos </w:t>
      </w:r>
      <w:r w:rsidR="00FA0006">
        <w:rPr>
          <w:color w:val="000000" w:themeColor="text1"/>
          <w:sz w:val="24"/>
          <w:szCs w:val="24"/>
        </w:rPr>
        <w:t xml:space="preserve">qué herramientas ni que aliados utilizaran para amedrentarnos y someternos, pero recordad que únicamente la unión y la lucha de todos y cada uno de nosotros es lo que puede garantizar nuestro futuro. </w:t>
      </w:r>
    </w:p>
    <w:p w:rsidR="00FA0006" w:rsidRDefault="00FA0006" w:rsidP="008D012D">
      <w:pPr>
        <w:spacing w:after="0"/>
        <w:rPr>
          <w:color w:val="000000" w:themeColor="text1"/>
          <w:sz w:val="24"/>
          <w:szCs w:val="24"/>
        </w:rPr>
      </w:pPr>
    </w:p>
    <w:p w:rsidR="00FA0006" w:rsidRDefault="00FA0006" w:rsidP="008D012D">
      <w:pPr>
        <w:spacing w:after="0"/>
        <w:rPr>
          <w:color w:val="000000" w:themeColor="text1"/>
          <w:sz w:val="24"/>
          <w:szCs w:val="24"/>
        </w:rPr>
      </w:pPr>
      <w:r>
        <w:rPr>
          <w:color w:val="000000" w:themeColor="text1"/>
          <w:sz w:val="24"/>
          <w:szCs w:val="24"/>
        </w:rPr>
        <w:t xml:space="preserve">El próximo lunes, 16 de noviembre del 2020, todos los miembros del Comité de empresa han sido convocados para estudiar qué acciones reivindicativas vamos a llevar a cabo. </w:t>
      </w:r>
    </w:p>
    <w:p w:rsidR="00FA0006" w:rsidRDefault="00FA0006" w:rsidP="008D012D">
      <w:pPr>
        <w:spacing w:after="0"/>
        <w:rPr>
          <w:color w:val="000000" w:themeColor="text1"/>
          <w:sz w:val="24"/>
          <w:szCs w:val="24"/>
        </w:rPr>
      </w:pPr>
    </w:p>
    <w:p w:rsidR="00FA0006" w:rsidRDefault="00FA0006" w:rsidP="008D012D">
      <w:pPr>
        <w:spacing w:after="0"/>
        <w:rPr>
          <w:color w:val="000000" w:themeColor="text1"/>
          <w:sz w:val="24"/>
          <w:szCs w:val="24"/>
        </w:rPr>
      </w:pPr>
      <w:r>
        <w:rPr>
          <w:color w:val="000000" w:themeColor="text1"/>
          <w:sz w:val="24"/>
          <w:szCs w:val="24"/>
        </w:rPr>
        <w:t>Se solicitó a la representación de la empresa un espacio para el próximo miércoles, 18 de noviembre, donde poder realizar una asamblea informativa para poder coordinarnos. Pero parece que, como nacido de la nada, se ha programado un Townhall para el mismo día. Adicionalmente, la empresa tira del Estatuto de los trabajadores para intentar negarnos la cesión de dicho espacio. Pero esto no hace más que insuflar nuestro espíritu de energía</w:t>
      </w:r>
      <w:r w:rsidR="003235DD">
        <w:rPr>
          <w:color w:val="000000" w:themeColor="text1"/>
          <w:sz w:val="24"/>
          <w:szCs w:val="24"/>
        </w:rPr>
        <w:t xml:space="preserve"> combativa:</w:t>
      </w:r>
      <w:r>
        <w:rPr>
          <w:color w:val="000000" w:themeColor="text1"/>
          <w:sz w:val="24"/>
          <w:szCs w:val="24"/>
        </w:rPr>
        <w:t xml:space="preserve"> </w:t>
      </w:r>
      <w:r w:rsidR="003235DD">
        <w:rPr>
          <w:color w:val="000000" w:themeColor="text1"/>
          <w:sz w:val="24"/>
          <w:szCs w:val="24"/>
        </w:rPr>
        <w:t>S</w:t>
      </w:r>
      <w:r>
        <w:rPr>
          <w:color w:val="000000" w:themeColor="text1"/>
          <w:sz w:val="24"/>
          <w:szCs w:val="24"/>
        </w:rPr>
        <w:t xml:space="preserve">i no disponemos de un espacio dentro de la empresa para poder realizar asambleas, dispondremos de él </w:t>
      </w:r>
      <w:r w:rsidR="003235DD">
        <w:rPr>
          <w:color w:val="000000" w:themeColor="text1"/>
          <w:sz w:val="24"/>
          <w:szCs w:val="24"/>
        </w:rPr>
        <w:t>a las puertas de la misma, ¡porque nada ni nadie va a poder detenernos!</w:t>
      </w:r>
    </w:p>
    <w:p w:rsidR="003235DD" w:rsidRDefault="003235DD" w:rsidP="008D012D">
      <w:pPr>
        <w:spacing w:after="0"/>
        <w:rPr>
          <w:color w:val="000000" w:themeColor="text1"/>
          <w:sz w:val="24"/>
          <w:szCs w:val="24"/>
        </w:rPr>
      </w:pPr>
    </w:p>
    <w:p w:rsidR="003235DD" w:rsidRDefault="003235DD" w:rsidP="008D012D">
      <w:pPr>
        <w:spacing w:after="0"/>
        <w:rPr>
          <w:color w:val="000000" w:themeColor="text1"/>
          <w:sz w:val="24"/>
          <w:szCs w:val="24"/>
        </w:rPr>
      </w:pPr>
    </w:p>
    <w:p w:rsidR="003235DD" w:rsidRPr="003235DD" w:rsidRDefault="003235DD" w:rsidP="003235DD">
      <w:pPr>
        <w:spacing w:after="0"/>
        <w:jc w:val="center"/>
        <w:rPr>
          <w:b/>
          <w:i/>
          <w:color w:val="000000" w:themeColor="text1"/>
          <w:sz w:val="40"/>
          <w:szCs w:val="24"/>
        </w:rPr>
      </w:pPr>
      <w:r w:rsidRPr="003235DD">
        <w:rPr>
          <w:b/>
          <w:i/>
          <w:color w:val="000000" w:themeColor="text1"/>
          <w:sz w:val="40"/>
          <w:szCs w:val="24"/>
        </w:rPr>
        <w:t>¡LA LUCHA ES EL ÚNICO CAMINO!</w:t>
      </w:r>
    </w:p>
    <w:p w:rsidR="003235DD" w:rsidRPr="003235DD" w:rsidRDefault="003235DD" w:rsidP="003235DD">
      <w:pPr>
        <w:spacing w:after="0"/>
        <w:jc w:val="center"/>
        <w:rPr>
          <w:b/>
          <w:i/>
          <w:color w:val="000000" w:themeColor="text1"/>
          <w:sz w:val="44"/>
          <w:szCs w:val="24"/>
        </w:rPr>
      </w:pPr>
    </w:p>
    <w:p w:rsidR="003235DD" w:rsidRPr="003235DD" w:rsidRDefault="003235DD" w:rsidP="003235DD">
      <w:pPr>
        <w:spacing w:after="0"/>
        <w:jc w:val="center"/>
        <w:rPr>
          <w:b/>
          <w:i/>
          <w:color w:val="000000" w:themeColor="text1"/>
          <w:sz w:val="44"/>
          <w:szCs w:val="24"/>
        </w:rPr>
      </w:pPr>
      <w:r w:rsidRPr="003235DD">
        <w:rPr>
          <w:b/>
          <w:i/>
          <w:color w:val="000000" w:themeColor="text1"/>
          <w:sz w:val="40"/>
          <w:szCs w:val="24"/>
        </w:rPr>
        <w:t xml:space="preserve">¡ÚNETE A </w:t>
      </w:r>
      <w:r w:rsidRPr="003235DD">
        <w:rPr>
          <w:b/>
          <w:i/>
          <w:color w:val="000000" w:themeColor="text1"/>
          <w:sz w:val="44"/>
          <w:szCs w:val="24"/>
        </w:rPr>
        <w:t>LA RESISTENCIA!</w:t>
      </w:r>
    </w:p>
    <w:p w:rsidR="003235DD" w:rsidRDefault="003235DD" w:rsidP="003235DD">
      <w:pPr>
        <w:spacing w:after="0"/>
        <w:jc w:val="center"/>
        <w:rPr>
          <w:b/>
          <w:i/>
          <w:color w:val="000000" w:themeColor="text1"/>
          <w:sz w:val="40"/>
          <w:szCs w:val="24"/>
        </w:rPr>
      </w:pPr>
      <w:r>
        <w:rPr>
          <w:b/>
          <w:i/>
          <w:noProof/>
          <w:color w:val="000000" w:themeColor="text1"/>
          <w:sz w:val="40"/>
          <w:szCs w:val="24"/>
          <w:lang w:eastAsia="es-ES"/>
        </w:rPr>
        <w:drawing>
          <wp:anchor distT="0" distB="0" distL="114300" distR="114300" simplePos="0" relativeHeight="251660288" behindDoc="0" locked="0" layoutInCell="1" allowOverlap="1">
            <wp:simplePos x="0" y="0"/>
            <wp:positionH relativeFrom="column">
              <wp:posOffset>1024890</wp:posOffset>
            </wp:positionH>
            <wp:positionV relativeFrom="paragraph">
              <wp:posOffset>264160</wp:posOffset>
            </wp:positionV>
            <wp:extent cx="3267075" cy="3267075"/>
            <wp:effectExtent l="0" t="0" r="0" b="0"/>
            <wp:wrapSquare wrapText="bothSides"/>
            <wp:docPr id="6" name="4 Imagen" descr="Logo cgt novar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t novartis.png"/>
                    <pic:cNvPicPr/>
                  </pic:nvPicPr>
                  <pic:blipFill>
                    <a:blip r:embed="rId11"/>
                    <a:stretch>
                      <a:fillRect/>
                    </a:stretch>
                  </pic:blipFill>
                  <pic:spPr>
                    <a:xfrm>
                      <a:off x="0" y="0"/>
                      <a:ext cx="3267075" cy="3267075"/>
                    </a:xfrm>
                    <a:prstGeom prst="rect">
                      <a:avLst/>
                    </a:prstGeom>
                  </pic:spPr>
                </pic:pic>
              </a:graphicData>
            </a:graphic>
          </wp:anchor>
        </w:drawing>
      </w:r>
    </w:p>
    <w:p w:rsidR="003235DD" w:rsidRPr="003235DD" w:rsidRDefault="003235DD" w:rsidP="003235DD">
      <w:pPr>
        <w:spacing w:after="0"/>
        <w:jc w:val="center"/>
        <w:rPr>
          <w:b/>
          <w:i/>
          <w:color w:val="000000" w:themeColor="text1"/>
          <w:sz w:val="40"/>
          <w:szCs w:val="24"/>
        </w:rPr>
      </w:pPr>
    </w:p>
    <w:p w:rsidR="003235DD" w:rsidRPr="008D012D" w:rsidRDefault="003235DD" w:rsidP="008D012D">
      <w:pPr>
        <w:spacing w:after="0"/>
        <w:rPr>
          <w:color w:val="000000" w:themeColor="text1"/>
          <w:sz w:val="24"/>
          <w:szCs w:val="24"/>
        </w:rPr>
      </w:pPr>
    </w:p>
    <w:sectPr w:rsidR="003235DD" w:rsidRPr="008D012D" w:rsidSect="00BE000B">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FF" w:rsidRDefault="00D90FFF" w:rsidP="00805E45">
      <w:pPr>
        <w:spacing w:after="0" w:line="240" w:lineRule="auto"/>
      </w:pPr>
      <w:r>
        <w:separator/>
      </w:r>
    </w:p>
  </w:endnote>
  <w:endnote w:type="continuationSeparator" w:id="1">
    <w:p w:rsidR="00D90FFF" w:rsidRDefault="00D90FFF" w:rsidP="00805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45" w:rsidRPr="00805E45" w:rsidRDefault="00805E45" w:rsidP="00805E45">
    <w:pPr>
      <w:pStyle w:val="Piedepgina"/>
      <w:jc w:val="right"/>
      <w:rPr>
        <w:b/>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FF" w:rsidRDefault="00D90FFF" w:rsidP="00805E45">
      <w:pPr>
        <w:spacing w:after="0" w:line="240" w:lineRule="auto"/>
      </w:pPr>
      <w:r>
        <w:separator/>
      </w:r>
    </w:p>
  </w:footnote>
  <w:footnote w:type="continuationSeparator" w:id="1">
    <w:p w:rsidR="00D90FFF" w:rsidRDefault="00D90FFF" w:rsidP="00805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DDD"/>
    <w:multiLevelType w:val="hybridMultilevel"/>
    <w:tmpl w:val="16E4B168"/>
    <w:lvl w:ilvl="0" w:tplc="D55255E2">
      <w:start w:val="5"/>
      <w:numFmt w:val="bullet"/>
      <w:lvlText w:val="-"/>
      <w:lvlJc w:val="left"/>
      <w:pPr>
        <w:ind w:left="720" w:hanging="360"/>
      </w:pPr>
      <w:rPr>
        <w:rFonts w:ascii="Calibri" w:eastAsiaTheme="minorHAnsi" w:hAnsi="Calibri" w:cs="Calibr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F1275B"/>
    <w:multiLevelType w:val="hybridMultilevel"/>
    <w:tmpl w:val="9B9C18E8"/>
    <w:lvl w:ilvl="0" w:tplc="219CCBC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DE15AF"/>
    <w:multiLevelType w:val="hybridMultilevel"/>
    <w:tmpl w:val="5CCA4A38"/>
    <w:lvl w:ilvl="0" w:tplc="4FE2E1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E623BC"/>
    <w:multiLevelType w:val="hybridMultilevel"/>
    <w:tmpl w:val="54C46768"/>
    <w:lvl w:ilvl="0" w:tplc="C9D0E99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2572"/>
    <w:rsid w:val="00040EF9"/>
    <w:rsid w:val="00046A8D"/>
    <w:rsid w:val="000B5002"/>
    <w:rsid w:val="000E1ADC"/>
    <w:rsid w:val="00100269"/>
    <w:rsid w:val="00196BF5"/>
    <w:rsid w:val="002766A5"/>
    <w:rsid w:val="0029746D"/>
    <w:rsid w:val="002E59D2"/>
    <w:rsid w:val="003235DD"/>
    <w:rsid w:val="00382567"/>
    <w:rsid w:val="003B2AA8"/>
    <w:rsid w:val="003F2763"/>
    <w:rsid w:val="00451B04"/>
    <w:rsid w:val="004B56D3"/>
    <w:rsid w:val="005A13F9"/>
    <w:rsid w:val="006D2180"/>
    <w:rsid w:val="0070056F"/>
    <w:rsid w:val="00742572"/>
    <w:rsid w:val="00764145"/>
    <w:rsid w:val="00805E45"/>
    <w:rsid w:val="008668ED"/>
    <w:rsid w:val="008D003B"/>
    <w:rsid w:val="008D012D"/>
    <w:rsid w:val="00A67621"/>
    <w:rsid w:val="00B63FEA"/>
    <w:rsid w:val="00BE000B"/>
    <w:rsid w:val="00C70F87"/>
    <w:rsid w:val="00D90FFF"/>
    <w:rsid w:val="00EB68CF"/>
    <w:rsid w:val="00F37527"/>
    <w:rsid w:val="00F87A4B"/>
    <w:rsid w:val="00FA00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572"/>
    <w:rPr>
      <w:rFonts w:ascii="Tahoma" w:hAnsi="Tahoma" w:cs="Tahoma"/>
      <w:sz w:val="16"/>
      <w:szCs w:val="16"/>
    </w:rPr>
  </w:style>
  <w:style w:type="paragraph" w:styleId="Prrafodelista">
    <w:name w:val="List Paragraph"/>
    <w:basedOn w:val="Normal"/>
    <w:uiPriority w:val="34"/>
    <w:qFormat/>
    <w:rsid w:val="000E1ADC"/>
    <w:pPr>
      <w:ind w:left="720"/>
      <w:contextualSpacing/>
    </w:pPr>
  </w:style>
  <w:style w:type="paragraph" w:styleId="Encabezado">
    <w:name w:val="header"/>
    <w:basedOn w:val="Normal"/>
    <w:link w:val="EncabezadoCar"/>
    <w:uiPriority w:val="99"/>
    <w:semiHidden/>
    <w:unhideWhenUsed/>
    <w:rsid w:val="00805E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05E45"/>
  </w:style>
  <w:style w:type="paragraph" w:styleId="Piedepgina">
    <w:name w:val="footer"/>
    <w:basedOn w:val="Normal"/>
    <w:link w:val="PiedepginaCar"/>
    <w:uiPriority w:val="99"/>
    <w:semiHidden/>
    <w:unhideWhenUsed/>
    <w:rsid w:val="00805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5E45"/>
  </w:style>
  <w:style w:type="character" w:styleId="Hipervnculo">
    <w:name w:val="Hyperlink"/>
    <w:basedOn w:val="Fuentedeprrafopredeter"/>
    <w:uiPriority w:val="99"/>
    <w:unhideWhenUsed/>
    <w:rsid w:val="00276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aj@CgtNovartis.com" TargetMode="External"/><Relationship Id="rId4" Type="http://schemas.openxmlformats.org/officeDocument/2006/relationships/settings" Target="settings.xml"/><Relationship Id="rId9" Type="http://schemas.openxmlformats.org/officeDocument/2006/relationships/hyperlink" Target="mailto:cgt.novartis@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E2E8-2805-41B0-861E-D915C362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Martinez</dc:creator>
  <cp:lastModifiedBy>Alejandro Martinez</cp:lastModifiedBy>
  <cp:revision>2</cp:revision>
  <dcterms:created xsi:type="dcterms:W3CDTF">2020-11-15T09:20:00Z</dcterms:created>
  <dcterms:modified xsi:type="dcterms:W3CDTF">2020-11-15T09:20:00Z</dcterms:modified>
</cp:coreProperties>
</file>